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11" w14:textId="77777777" w:rsidR="00A52032" w:rsidRDefault="00F26FF6" w:rsidP="11373977">
      <w:pPr>
        <w:keepNext/>
        <w:jc w:val="left"/>
        <w:rPr>
          <w:rFonts w:ascii="Arial" w:eastAsia="Arial" w:hAnsi="Arial"/>
          <w:b/>
          <w:bCs/>
          <w:sz w:val="36"/>
          <w:szCs w:val="36"/>
        </w:rPr>
      </w:pPr>
      <w:r w:rsidRPr="3AD2C5F8">
        <w:rPr>
          <w:rFonts w:ascii="Arial" w:eastAsia="Arial" w:hAnsi="Arial"/>
          <w:b/>
          <w:bCs/>
          <w:sz w:val="36"/>
          <w:szCs w:val="36"/>
        </w:rPr>
        <w:t>Call-Off Schedule 16 (Benchmarking)</w:t>
      </w:r>
    </w:p>
    <w:p w14:paraId="00000012" w14:textId="77777777" w:rsidR="00A52032" w:rsidRDefault="00F26FF6">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00000013" w14:textId="77777777" w:rsidR="00A52032" w:rsidRDefault="00F26FF6" w:rsidP="003752D1">
      <w:pPr>
        <w:keepNext/>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1"/>
        <w:tblW w:w="8647" w:type="dxa"/>
        <w:tblInd w:w="284" w:type="dxa"/>
        <w:tblLayout w:type="fixed"/>
        <w:tblLook w:val="0400" w:firstRow="0" w:lastRow="0" w:firstColumn="0" w:lastColumn="0" w:noHBand="0" w:noVBand="1"/>
      </w:tblPr>
      <w:tblGrid>
        <w:gridCol w:w="2900"/>
        <w:gridCol w:w="5747"/>
      </w:tblGrid>
      <w:tr w:rsidR="000445E3" w14:paraId="21E24DC9" w14:textId="77777777" w:rsidTr="00AC7A5B">
        <w:tc>
          <w:tcPr>
            <w:tcW w:w="2900" w:type="dxa"/>
            <w:shd w:val="clear" w:color="auto" w:fill="auto"/>
          </w:tcPr>
          <w:p w14:paraId="69D61AFF" w14:textId="436C7990" w:rsidR="000445E3" w:rsidRDefault="000445E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Rates”</w:t>
            </w:r>
          </w:p>
        </w:tc>
        <w:tc>
          <w:tcPr>
            <w:tcW w:w="5747" w:type="dxa"/>
            <w:shd w:val="clear" w:color="auto" w:fill="auto"/>
          </w:tcPr>
          <w:p w14:paraId="55D68612" w14:textId="0386D253" w:rsidR="000445E3" w:rsidRDefault="000445E3">
            <w:pPr>
              <w:pBdr>
                <w:top w:val="nil"/>
                <w:left w:val="nil"/>
                <w:bottom w:val="nil"/>
                <w:right w:val="nil"/>
                <w:between w:val="nil"/>
              </w:pBdr>
              <w:tabs>
                <w:tab w:val="left" w:pos="175"/>
              </w:tabs>
              <w:spacing w:after="120"/>
              <w:jc w:val="left"/>
              <w:rPr>
                <w:rFonts w:ascii="Arial" w:eastAsia="Arial" w:hAnsi="Arial"/>
                <w:sz w:val="24"/>
                <w:szCs w:val="24"/>
              </w:rPr>
            </w:pPr>
            <w:r w:rsidRPr="000445E3">
              <w:rPr>
                <w:rFonts w:ascii="Arial" w:eastAsia="Arial" w:hAnsi="Arial"/>
                <w:sz w:val="24"/>
                <w:szCs w:val="24"/>
              </w:rPr>
              <w:t xml:space="preserve">in relation to a Benchmark Review, the </w:t>
            </w:r>
            <w:r>
              <w:rPr>
                <w:rFonts w:ascii="Arial" w:eastAsia="Arial" w:hAnsi="Arial"/>
                <w:sz w:val="24"/>
                <w:szCs w:val="24"/>
              </w:rPr>
              <w:t xml:space="preserve">Charges for the </w:t>
            </w:r>
            <w:r w:rsidR="006A7E7E">
              <w:rPr>
                <w:rFonts w:ascii="Arial" w:eastAsia="Arial" w:hAnsi="Arial"/>
                <w:sz w:val="24"/>
                <w:szCs w:val="24"/>
              </w:rPr>
              <w:t>Deliverables</w:t>
            </w:r>
            <w:r w:rsidRPr="000445E3">
              <w:rPr>
                <w:rFonts w:ascii="Arial" w:eastAsia="Arial" w:hAnsi="Arial"/>
                <w:sz w:val="24"/>
                <w:szCs w:val="24"/>
              </w:rPr>
              <w:t xml:space="preserve"> that the Customer elects to include in that Benchmark Review</w:t>
            </w:r>
            <w:r>
              <w:rPr>
                <w:rFonts w:ascii="Arial" w:eastAsia="Arial" w:hAnsi="Arial"/>
                <w:sz w:val="24"/>
                <w:szCs w:val="24"/>
              </w:rPr>
              <w:t>;</w:t>
            </w:r>
          </w:p>
        </w:tc>
      </w:tr>
      <w:tr w:rsidR="00A52032" w14:paraId="3DDB33B9" w14:textId="77777777" w:rsidTr="00AC7A5B">
        <w:tc>
          <w:tcPr>
            <w:tcW w:w="2900" w:type="dxa"/>
            <w:shd w:val="clear" w:color="auto" w:fill="auto"/>
          </w:tcPr>
          <w:p w14:paraId="00000014"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 Review"</w:t>
            </w:r>
          </w:p>
        </w:tc>
        <w:tc>
          <w:tcPr>
            <w:tcW w:w="5747" w:type="dxa"/>
            <w:shd w:val="clear" w:color="auto" w:fill="auto"/>
          </w:tcPr>
          <w:p w14:paraId="00000015"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A52032" w14:paraId="1D5C0E82" w14:textId="77777777" w:rsidTr="00AC7A5B">
        <w:tc>
          <w:tcPr>
            <w:tcW w:w="2900" w:type="dxa"/>
            <w:shd w:val="clear" w:color="auto" w:fill="auto"/>
          </w:tcPr>
          <w:p w14:paraId="00000016"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Deliverables"</w:t>
            </w:r>
          </w:p>
        </w:tc>
        <w:tc>
          <w:tcPr>
            <w:tcW w:w="5747" w:type="dxa"/>
            <w:shd w:val="clear" w:color="auto" w:fill="auto"/>
          </w:tcPr>
          <w:p w14:paraId="00000017"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A52032" w14:paraId="6FA563F2" w14:textId="77777777" w:rsidTr="00AC7A5B">
        <w:tc>
          <w:tcPr>
            <w:tcW w:w="2900" w:type="dxa"/>
            <w:shd w:val="clear" w:color="auto" w:fill="auto"/>
          </w:tcPr>
          <w:p w14:paraId="00000018"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Rates"</w:t>
            </w:r>
          </w:p>
        </w:tc>
        <w:tc>
          <w:tcPr>
            <w:tcW w:w="5747" w:type="dxa"/>
            <w:shd w:val="clear" w:color="auto" w:fill="auto"/>
          </w:tcPr>
          <w:p w14:paraId="00000019"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Charges for Comparable Deliverables;</w:t>
            </w:r>
          </w:p>
        </w:tc>
      </w:tr>
      <w:tr w:rsidR="00A52032" w14:paraId="36F82922" w14:textId="77777777" w:rsidTr="00AC7A5B">
        <w:tc>
          <w:tcPr>
            <w:tcW w:w="2900" w:type="dxa"/>
            <w:shd w:val="clear" w:color="auto" w:fill="auto"/>
          </w:tcPr>
          <w:p w14:paraId="0000001A"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Deliverables"</w:t>
            </w:r>
          </w:p>
        </w:tc>
        <w:tc>
          <w:tcPr>
            <w:tcW w:w="5747" w:type="dxa"/>
            <w:shd w:val="clear" w:color="auto" w:fill="auto"/>
          </w:tcPr>
          <w:p w14:paraId="0000001B"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 xml:space="preserve">deliverables that are identical or materially similar to the Benchmarked Deliverables (including in terms of scope, specification, </w:t>
            </w:r>
            <w:proofErr w:type="gramStart"/>
            <w:r>
              <w:rPr>
                <w:rFonts w:ascii="Arial" w:eastAsia="Arial" w:hAnsi="Arial"/>
                <w:sz w:val="24"/>
                <w:szCs w:val="24"/>
              </w:rPr>
              <w:t>volume</w:t>
            </w:r>
            <w:proofErr w:type="gramEnd"/>
            <w:r>
              <w:rPr>
                <w:rFonts w:ascii="Arial" w:eastAsia="Arial" w:hAnsi="Arial"/>
                <w:sz w:val="24"/>
                <w:szCs w:val="24"/>
              </w:rPr>
              <w:t xml:space="preserve"> and quality of performance) provided that if no identical or materially similar Deliverables exist in the market, the Supplier shall propose an approach for developing a comparable Deliverables benchmark;</w:t>
            </w:r>
          </w:p>
        </w:tc>
      </w:tr>
      <w:tr w:rsidR="00A52032" w14:paraId="694EDEAE" w14:textId="77777777" w:rsidTr="00AC7A5B">
        <w:tc>
          <w:tcPr>
            <w:tcW w:w="2900" w:type="dxa"/>
            <w:shd w:val="clear" w:color="auto" w:fill="auto"/>
          </w:tcPr>
          <w:p w14:paraId="0000001C"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"Comparison Group"</w:t>
            </w:r>
          </w:p>
        </w:tc>
        <w:tc>
          <w:tcPr>
            <w:tcW w:w="5747" w:type="dxa"/>
            <w:shd w:val="clear" w:color="auto" w:fill="auto"/>
          </w:tcPr>
          <w:p w14:paraId="0000001D"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A52032" w14:paraId="11C1B78B" w14:textId="77777777" w:rsidTr="00AC7A5B">
        <w:tc>
          <w:tcPr>
            <w:tcW w:w="2900" w:type="dxa"/>
            <w:shd w:val="clear" w:color="auto" w:fill="auto"/>
          </w:tcPr>
          <w:p w14:paraId="0000001E"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"Equivalent Data"</w:t>
            </w:r>
          </w:p>
        </w:tc>
        <w:tc>
          <w:tcPr>
            <w:tcW w:w="5747" w:type="dxa"/>
            <w:shd w:val="clear" w:color="auto" w:fill="auto"/>
          </w:tcPr>
          <w:p w14:paraId="0000001F"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A52032" w14:paraId="4FAB0C6A" w14:textId="77777777" w:rsidTr="00AC7A5B">
        <w:tc>
          <w:tcPr>
            <w:tcW w:w="2900" w:type="dxa"/>
            <w:shd w:val="clear" w:color="auto" w:fill="auto"/>
          </w:tcPr>
          <w:p w14:paraId="00000020"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"Good Value"</w:t>
            </w:r>
          </w:p>
        </w:tc>
        <w:tc>
          <w:tcPr>
            <w:tcW w:w="5747" w:type="dxa"/>
            <w:shd w:val="clear" w:color="auto" w:fill="auto"/>
          </w:tcPr>
          <w:p w14:paraId="00000021"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that the Benchmarked Rates are within the Upper Quartile; and</w:t>
            </w:r>
          </w:p>
        </w:tc>
      </w:tr>
      <w:tr w:rsidR="00A52032" w14:paraId="70080BD5" w14:textId="77777777" w:rsidTr="00AC7A5B">
        <w:tc>
          <w:tcPr>
            <w:tcW w:w="2900" w:type="dxa"/>
            <w:shd w:val="clear" w:color="auto" w:fill="auto"/>
          </w:tcPr>
          <w:p w14:paraId="00000022" w14:textId="77777777" w:rsidR="00A52032" w:rsidRDefault="00F26FF6">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"Upper Quartile"</w:t>
            </w:r>
          </w:p>
        </w:tc>
        <w:tc>
          <w:tcPr>
            <w:tcW w:w="5747" w:type="dxa"/>
            <w:shd w:val="clear" w:color="auto" w:fill="auto"/>
          </w:tcPr>
          <w:p w14:paraId="00000023" w14:textId="77777777" w:rsidR="00A52032" w:rsidRDefault="00F26FF6">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00000024" w14:textId="77777777" w:rsidR="00A52032" w:rsidRDefault="00F26FF6">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00000025" w14:textId="77777777" w:rsidR="00A52032" w:rsidRDefault="00F26FF6" w:rsidP="003752D1">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00000026" w14:textId="77777777" w:rsidR="00A52032" w:rsidRDefault="00F26FF6" w:rsidP="003752D1">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00000027" w14:textId="12C4483C" w:rsidR="00A52032" w:rsidRDefault="00F26FF6" w:rsidP="003752D1">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Amounts payable under this Schedule shall not fall within the definition of a Cost</w:t>
      </w:r>
      <w:r w:rsidR="00C41144">
        <w:rPr>
          <w:rFonts w:ascii="Arial" w:eastAsia="Arial" w:hAnsi="Arial"/>
          <w:color w:val="000000"/>
          <w:sz w:val="24"/>
          <w:szCs w:val="24"/>
        </w:rPr>
        <w:t>s</w:t>
      </w:r>
      <w:r>
        <w:rPr>
          <w:rFonts w:ascii="Arial" w:eastAsia="Arial" w:hAnsi="Arial"/>
          <w:color w:val="000000"/>
          <w:sz w:val="24"/>
          <w:szCs w:val="24"/>
        </w:rPr>
        <w:t>.</w:t>
      </w:r>
    </w:p>
    <w:p w14:paraId="00000028" w14:textId="77777777" w:rsidR="00A52032" w:rsidRDefault="00F26FF6">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00000029" w14:textId="77777777" w:rsidR="00A52032" w:rsidRDefault="00F26FF6" w:rsidP="003752D1">
      <w:pPr>
        <w:keepNext/>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b/>
          <w:color w:val="000000"/>
          <w:sz w:val="24"/>
          <w:szCs w:val="24"/>
        </w:rPr>
      </w:pPr>
      <w:r>
        <w:rPr>
          <w:rFonts w:ascii="Arial" w:eastAsia="Arial" w:hAnsi="Arial"/>
          <w:b/>
          <w:color w:val="000000"/>
          <w:sz w:val="24"/>
          <w:szCs w:val="24"/>
        </w:rPr>
        <w:t>How benchmarking works</w:t>
      </w:r>
    </w:p>
    <w:p w14:paraId="0000002A"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2B"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0000002C"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0000002D"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0000002E"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3AE66489" w14:textId="3428A0AB" w:rsidR="00AF2185"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w:t>
      </w:r>
      <w:r w:rsidR="00AF2185">
        <w:rPr>
          <w:rFonts w:ascii="Arial" w:eastAsia="Arial" w:hAnsi="Arial"/>
          <w:color w:val="000000"/>
          <w:sz w:val="24"/>
          <w:szCs w:val="24"/>
        </w:rPr>
        <w:t xml:space="preserve">grounds and </w:t>
      </w:r>
      <w:r>
        <w:rPr>
          <w:rFonts w:ascii="Arial" w:eastAsia="Arial" w:hAnsi="Arial"/>
          <w:color w:val="000000"/>
          <w:sz w:val="24"/>
          <w:szCs w:val="24"/>
        </w:rPr>
        <w:t>explanation for rejecting the appointment</w:t>
      </w:r>
      <w:r w:rsidR="00AF2185">
        <w:rPr>
          <w:rFonts w:ascii="Arial" w:eastAsia="Arial" w:hAnsi="Arial"/>
          <w:color w:val="000000"/>
          <w:sz w:val="24"/>
          <w:szCs w:val="24"/>
        </w:rPr>
        <w:t xml:space="preserve"> of the </w:t>
      </w:r>
      <w:proofErr w:type="spellStart"/>
      <w:r w:rsidR="00AF2185">
        <w:rPr>
          <w:rFonts w:ascii="Arial" w:eastAsia="Arial" w:hAnsi="Arial"/>
          <w:color w:val="000000"/>
          <w:sz w:val="24"/>
          <w:szCs w:val="24"/>
        </w:rPr>
        <w:t>benchmarker</w:t>
      </w:r>
      <w:proofErr w:type="spellEnd"/>
      <w:r>
        <w:rPr>
          <w:rFonts w:ascii="Arial" w:eastAsia="Arial" w:hAnsi="Arial"/>
          <w:color w:val="000000"/>
          <w:sz w:val="24"/>
          <w:szCs w:val="24"/>
        </w:rPr>
        <w:t>. </w:t>
      </w:r>
      <w:r w:rsidR="00AF2185">
        <w:rPr>
          <w:rFonts w:ascii="Arial" w:eastAsia="Arial" w:hAnsi="Arial"/>
          <w:color w:val="000000"/>
          <w:sz w:val="24"/>
          <w:szCs w:val="24"/>
        </w:rPr>
        <w:t xml:space="preserve">For the purposes of this paragraph 3.1.6, “reasonable grounds” for the Supplier rejecting the appointment of a </w:t>
      </w:r>
      <w:proofErr w:type="spellStart"/>
      <w:r w:rsidR="00AF2185">
        <w:rPr>
          <w:rFonts w:ascii="Arial" w:eastAsia="Arial" w:hAnsi="Arial"/>
          <w:color w:val="000000"/>
          <w:sz w:val="24"/>
          <w:szCs w:val="24"/>
        </w:rPr>
        <w:t>benchmarker</w:t>
      </w:r>
      <w:proofErr w:type="spellEnd"/>
      <w:r w:rsidR="00AF2185">
        <w:rPr>
          <w:rFonts w:ascii="Arial" w:eastAsia="Arial" w:hAnsi="Arial"/>
          <w:color w:val="000000"/>
          <w:sz w:val="24"/>
          <w:szCs w:val="24"/>
        </w:rPr>
        <w:t xml:space="preserve"> include:</w:t>
      </w:r>
    </w:p>
    <w:p w14:paraId="5E124B74" w14:textId="707FFF0D" w:rsidR="00AF2185" w:rsidRPr="00C32804" w:rsidRDefault="00AF2185" w:rsidP="00E733BD">
      <w:pPr>
        <w:pStyle w:val="GPSDefinitionL4"/>
        <w:ind w:left="1418"/>
        <w:rPr>
          <w:rFonts w:ascii="Arial" w:eastAsia="Arial" w:hAnsi="Arial"/>
          <w:sz w:val="24"/>
          <w:szCs w:val="24"/>
        </w:rPr>
      </w:pPr>
      <w:r w:rsidRPr="00C32804">
        <w:rPr>
          <w:rFonts w:ascii="Arial" w:eastAsia="Arial" w:hAnsi="Arial"/>
          <w:sz w:val="24"/>
          <w:szCs w:val="24"/>
        </w:rPr>
        <w:t xml:space="preserve">the </w:t>
      </w:r>
      <w:proofErr w:type="spellStart"/>
      <w:r w:rsidRPr="00C32804">
        <w:rPr>
          <w:rFonts w:ascii="Arial" w:eastAsia="Arial" w:hAnsi="Arial"/>
          <w:sz w:val="24"/>
          <w:szCs w:val="24"/>
        </w:rPr>
        <w:t>benchmarker</w:t>
      </w:r>
      <w:proofErr w:type="spellEnd"/>
      <w:r w:rsidRPr="00C32804">
        <w:rPr>
          <w:rFonts w:ascii="Arial" w:eastAsia="Arial" w:hAnsi="Arial"/>
          <w:sz w:val="24"/>
          <w:szCs w:val="24"/>
        </w:rPr>
        <w:t xml:space="preserve"> is a direct competitor of the Supplier;</w:t>
      </w:r>
      <w:r w:rsidR="00C41144">
        <w:rPr>
          <w:rFonts w:ascii="Arial" w:eastAsia="Arial" w:hAnsi="Arial"/>
          <w:sz w:val="24"/>
          <w:szCs w:val="24"/>
        </w:rPr>
        <w:t xml:space="preserve"> or</w:t>
      </w:r>
    </w:p>
    <w:p w14:paraId="5AE8AE2E" w14:textId="5DCCE515" w:rsidR="00F26FF6" w:rsidRPr="00C32804" w:rsidRDefault="00F26FF6" w:rsidP="00E733BD">
      <w:pPr>
        <w:pStyle w:val="GPSDefinitionL4"/>
        <w:ind w:left="1418"/>
        <w:rPr>
          <w:rFonts w:ascii="Arial" w:eastAsia="Arial" w:hAnsi="Arial"/>
          <w:sz w:val="24"/>
          <w:szCs w:val="24"/>
        </w:rPr>
      </w:pPr>
      <w:r w:rsidRPr="00C32804">
        <w:rPr>
          <w:rFonts w:ascii="Arial" w:eastAsia="Arial" w:hAnsi="Arial"/>
          <w:sz w:val="24"/>
          <w:szCs w:val="24"/>
        </w:rPr>
        <w:t xml:space="preserve">the Supplier and </w:t>
      </w:r>
      <w:proofErr w:type="spellStart"/>
      <w:r w:rsidRPr="00C32804">
        <w:rPr>
          <w:rFonts w:ascii="Arial" w:eastAsia="Arial" w:hAnsi="Arial"/>
          <w:sz w:val="24"/>
          <w:szCs w:val="24"/>
        </w:rPr>
        <w:t>benchmarker</w:t>
      </w:r>
      <w:proofErr w:type="spellEnd"/>
      <w:r w:rsidRPr="00C32804">
        <w:rPr>
          <w:rFonts w:ascii="Arial" w:eastAsia="Arial" w:hAnsi="Arial"/>
          <w:sz w:val="24"/>
          <w:szCs w:val="24"/>
        </w:rPr>
        <w:t xml:space="preserve"> are </w:t>
      </w:r>
      <w:r>
        <w:rPr>
          <w:rFonts w:ascii="Arial" w:eastAsia="Arial" w:hAnsi="Arial"/>
          <w:sz w:val="24"/>
          <w:szCs w:val="24"/>
        </w:rPr>
        <w:t xml:space="preserve">actively </w:t>
      </w:r>
      <w:r w:rsidRPr="00C32804">
        <w:rPr>
          <w:rFonts w:ascii="Arial" w:eastAsia="Arial" w:hAnsi="Arial"/>
          <w:sz w:val="24"/>
          <w:szCs w:val="24"/>
        </w:rPr>
        <w:t xml:space="preserve">engaged in a legal dispute or have been engaged in a legal dispute in the three (3) years prior to the request for a Benchmark Review by the </w:t>
      </w:r>
      <w:proofErr w:type="gramStart"/>
      <w:r w:rsidRPr="00C32804">
        <w:rPr>
          <w:rFonts w:ascii="Arial" w:eastAsia="Arial" w:hAnsi="Arial"/>
          <w:sz w:val="24"/>
          <w:szCs w:val="24"/>
        </w:rPr>
        <w:t>Buyer;</w:t>
      </w:r>
      <w:proofErr w:type="gramEnd"/>
    </w:p>
    <w:p w14:paraId="0000002F" w14:textId="38208F7C" w:rsidR="00A52032" w:rsidRDefault="00F26FF6" w:rsidP="00E733BD">
      <w:p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If the appointment is </w:t>
      </w:r>
      <w:proofErr w:type="gramStart"/>
      <w:r>
        <w:rPr>
          <w:rFonts w:ascii="Arial" w:eastAsia="Arial" w:hAnsi="Arial"/>
          <w:color w:val="000000"/>
          <w:sz w:val="24"/>
          <w:szCs w:val="24"/>
        </w:rPr>
        <w:t>rejected</w:t>
      </w:r>
      <w:proofErr w:type="gramEnd"/>
      <w:r>
        <w:rPr>
          <w:rFonts w:ascii="Arial" w:eastAsia="Arial" w:hAnsi="Arial"/>
          <w:color w:val="000000"/>
          <w:sz w:val="24"/>
          <w:szCs w:val="24"/>
        </w:rPr>
        <w:t xml:space="preserve">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w:t>
      </w:r>
      <w:proofErr w:type="gramStart"/>
      <w:r>
        <w:rPr>
          <w:rFonts w:ascii="Arial" w:eastAsia="Arial" w:hAnsi="Arial"/>
          <w:color w:val="000000"/>
          <w:sz w:val="24"/>
          <w:szCs w:val="24"/>
        </w:rPr>
        <w:t>review</w:t>
      </w:r>
      <w:proofErr w:type="gramEnd"/>
      <w:r>
        <w:rPr>
          <w:rFonts w:ascii="Arial" w:eastAsia="Arial" w:hAnsi="Arial"/>
          <w:color w:val="000000"/>
          <w:sz w:val="24"/>
          <w:szCs w:val="24"/>
        </w:rPr>
        <w:t xml:space="preserve">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00000030"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lastRenderedPageBreak/>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00000031" w14:textId="77777777" w:rsidR="00A52032" w:rsidRDefault="00F26FF6" w:rsidP="00C41144">
      <w:pPr>
        <w:keepNext/>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b/>
          <w:color w:val="000000"/>
          <w:sz w:val="24"/>
          <w:szCs w:val="24"/>
        </w:rPr>
      </w:pPr>
      <w:r>
        <w:rPr>
          <w:rFonts w:ascii="Arial" w:eastAsia="Arial" w:hAnsi="Arial"/>
          <w:b/>
          <w:color w:val="000000"/>
          <w:sz w:val="24"/>
          <w:szCs w:val="24"/>
        </w:rPr>
        <w:t>Benchmarking Process</w:t>
      </w:r>
    </w:p>
    <w:p w14:paraId="00000032" w14:textId="77777777" w:rsidR="00A52032" w:rsidRDefault="00F26FF6" w:rsidP="00E733BD">
      <w:pPr>
        <w:keepNext/>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00000033" w14:textId="77777777" w:rsidR="00A52032" w:rsidRDefault="00F26FF6" w:rsidP="00E733BD">
      <w:pPr>
        <w:numPr>
          <w:ilvl w:val="3"/>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a proposed cost and timetable for the Benchmark </w:t>
      </w:r>
      <w:proofErr w:type="gramStart"/>
      <w:r>
        <w:rPr>
          <w:rFonts w:ascii="Arial" w:eastAsia="Arial" w:hAnsi="Arial"/>
          <w:color w:val="000000"/>
          <w:sz w:val="24"/>
          <w:szCs w:val="24"/>
        </w:rPr>
        <w:t>Review;</w:t>
      </w:r>
      <w:proofErr w:type="gramEnd"/>
    </w:p>
    <w:p w14:paraId="00000034" w14:textId="77777777" w:rsidR="00A52032" w:rsidRDefault="00F26FF6" w:rsidP="00E733BD">
      <w:pPr>
        <w:numPr>
          <w:ilvl w:val="3"/>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00000035" w14:textId="77777777" w:rsidR="00A52032" w:rsidRDefault="00F26FF6" w:rsidP="00E733BD">
      <w:pPr>
        <w:numPr>
          <w:ilvl w:val="3"/>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00000036"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00000037" w14:textId="0B103B3F"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w:t>
      </w:r>
      <w:proofErr w:type="gramStart"/>
      <w:r>
        <w:rPr>
          <w:rFonts w:ascii="Arial" w:eastAsia="Arial" w:hAnsi="Arial"/>
          <w:color w:val="000000"/>
          <w:sz w:val="24"/>
          <w:szCs w:val="24"/>
        </w:rPr>
        <w:t>suggested</w:t>
      </w:r>
      <w:proofErr w:type="gramEnd"/>
      <w:r>
        <w:rPr>
          <w:rFonts w:ascii="Arial" w:eastAsia="Arial" w:hAnsi="Arial"/>
          <w:color w:val="000000"/>
          <w:sz w:val="24"/>
          <w:szCs w:val="24"/>
        </w:rPr>
        <w:t xml:space="preserve">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00000038" w14:textId="7777777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00000039" w14:textId="77777777" w:rsidR="00A52032" w:rsidRDefault="00F26FF6" w:rsidP="00E733BD">
      <w:pPr>
        <w:keepNext/>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0000003A" w14:textId="002448A0" w:rsidR="00A52032" w:rsidRDefault="00F26FF6" w:rsidP="00E733BD">
      <w:pPr>
        <w:numPr>
          <w:ilvl w:val="3"/>
          <w:numId w:val="1"/>
        </w:numPr>
        <w:pBdr>
          <w:top w:val="nil"/>
          <w:left w:val="nil"/>
          <w:bottom w:val="nil"/>
          <w:right w:val="nil"/>
          <w:between w:val="nil"/>
        </w:pBdr>
        <w:tabs>
          <w:tab w:val="left" w:pos="2268"/>
        </w:tabs>
        <w:spacing w:before="120" w:after="120"/>
        <w:ind w:left="2268"/>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judgement using:</w:t>
      </w:r>
    </w:p>
    <w:p w14:paraId="0000003B" w14:textId="77777777" w:rsidR="00A52032" w:rsidRDefault="00F26FF6" w:rsidP="00E733BD">
      <w:pPr>
        <w:numPr>
          <w:ilvl w:val="4"/>
          <w:numId w:val="1"/>
        </w:numPr>
        <w:pBdr>
          <w:top w:val="nil"/>
          <w:left w:val="nil"/>
          <w:bottom w:val="nil"/>
          <w:right w:val="nil"/>
          <w:between w:val="nil"/>
        </w:pBdr>
        <w:tabs>
          <w:tab w:val="left" w:pos="3261"/>
        </w:tabs>
        <w:spacing w:before="120" w:after="120"/>
        <w:ind w:left="3261"/>
        <w:jc w:val="left"/>
        <w:rPr>
          <w:rFonts w:ascii="Arial" w:eastAsia="Arial" w:hAnsi="Arial"/>
          <w:color w:val="000000"/>
          <w:sz w:val="24"/>
          <w:szCs w:val="24"/>
        </w:rPr>
      </w:pPr>
      <w:r>
        <w:rPr>
          <w:rFonts w:ascii="Arial" w:eastAsia="Arial" w:hAnsi="Arial"/>
          <w:color w:val="000000"/>
          <w:sz w:val="24"/>
          <w:szCs w:val="24"/>
        </w:rPr>
        <w:t xml:space="preserve">market </w:t>
      </w:r>
      <w:proofErr w:type="gramStart"/>
      <w:r>
        <w:rPr>
          <w:rFonts w:ascii="Arial" w:eastAsia="Arial" w:hAnsi="Arial"/>
          <w:color w:val="000000"/>
          <w:sz w:val="24"/>
          <w:szCs w:val="24"/>
        </w:rPr>
        <w:t>intelligence;</w:t>
      </w:r>
      <w:proofErr w:type="gramEnd"/>
    </w:p>
    <w:p w14:paraId="0000003C" w14:textId="77777777" w:rsidR="00A52032" w:rsidRDefault="00F26FF6" w:rsidP="00E733BD">
      <w:pPr>
        <w:numPr>
          <w:ilvl w:val="4"/>
          <w:numId w:val="1"/>
        </w:numPr>
        <w:pBdr>
          <w:top w:val="nil"/>
          <w:left w:val="nil"/>
          <w:bottom w:val="nil"/>
          <w:right w:val="nil"/>
          <w:between w:val="nil"/>
        </w:pBdr>
        <w:tabs>
          <w:tab w:val="left" w:pos="3261"/>
        </w:tabs>
        <w:spacing w:before="120" w:after="120"/>
        <w:ind w:left="3261"/>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w:t>
      </w:r>
      <w:proofErr w:type="gramStart"/>
      <w:r>
        <w:rPr>
          <w:rFonts w:ascii="Arial" w:eastAsia="Arial" w:hAnsi="Arial"/>
          <w:color w:val="000000"/>
          <w:sz w:val="24"/>
          <w:szCs w:val="24"/>
        </w:rPr>
        <w:t>experience;</w:t>
      </w:r>
      <w:proofErr w:type="gramEnd"/>
    </w:p>
    <w:p w14:paraId="0000003D" w14:textId="77777777" w:rsidR="00A52032" w:rsidRDefault="00F26FF6" w:rsidP="00E733BD">
      <w:pPr>
        <w:numPr>
          <w:ilvl w:val="4"/>
          <w:numId w:val="1"/>
        </w:numPr>
        <w:pBdr>
          <w:top w:val="nil"/>
          <w:left w:val="nil"/>
          <w:bottom w:val="nil"/>
          <w:right w:val="nil"/>
          <w:between w:val="nil"/>
        </w:pBdr>
        <w:tabs>
          <w:tab w:val="left" w:pos="3261"/>
        </w:tabs>
        <w:spacing w:before="120" w:after="120"/>
        <w:ind w:left="3261"/>
        <w:jc w:val="left"/>
        <w:rPr>
          <w:rFonts w:ascii="Arial" w:eastAsia="Arial" w:hAnsi="Arial"/>
          <w:color w:val="000000"/>
          <w:sz w:val="24"/>
          <w:szCs w:val="24"/>
        </w:rPr>
      </w:pPr>
      <w:r>
        <w:rPr>
          <w:rFonts w:ascii="Arial" w:eastAsia="Arial" w:hAnsi="Arial"/>
          <w:color w:val="000000"/>
          <w:sz w:val="24"/>
          <w:szCs w:val="24"/>
        </w:rPr>
        <w:t>relevant published information; and</w:t>
      </w:r>
    </w:p>
    <w:p w14:paraId="0000003E" w14:textId="0A6DF6E2" w:rsidR="00A52032" w:rsidRDefault="00F26FF6" w:rsidP="00E733BD">
      <w:pPr>
        <w:numPr>
          <w:ilvl w:val="4"/>
          <w:numId w:val="1"/>
        </w:numPr>
        <w:pBdr>
          <w:top w:val="nil"/>
          <w:left w:val="nil"/>
          <w:bottom w:val="nil"/>
          <w:right w:val="nil"/>
          <w:between w:val="nil"/>
        </w:pBdr>
        <w:tabs>
          <w:tab w:val="left" w:pos="3261"/>
        </w:tabs>
        <w:spacing w:before="120" w:after="120"/>
        <w:ind w:left="3261"/>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pursuant to Paragraph 3.2.6 below, information from other suppliers or purchasers on Comparable </w:t>
      </w:r>
      <w:proofErr w:type="gramStart"/>
      <w:r>
        <w:rPr>
          <w:rFonts w:ascii="Arial" w:eastAsia="Arial" w:hAnsi="Arial"/>
          <w:color w:val="000000"/>
          <w:sz w:val="24"/>
          <w:szCs w:val="24"/>
        </w:rPr>
        <w:t>Rates;</w:t>
      </w:r>
      <w:proofErr w:type="gramEnd"/>
    </w:p>
    <w:p w14:paraId="0000003F" w14:textId="77777777" w:rsidR="00A52032" w:rsidRDefault="00F26FF6" w:rsidP="00E733BD">
      <w:pPr>
        <w:numPr>
          <w:ilvl w:val="3"/>
          <w:numId w:val="1"/>
        </w:numPr>
        <w:pBdr>
          <w:top w:val="nil"/>
          <w:left w:val="nil"/>
          <w:bottom w:val="nil"/>
          <w:right w:val="nil"/>
          <w:between w:val="nil"/>
        </w:pBdr>
        <w:tabs>
          <w:tab w:val="left" w:pos="2268"/>
        </w:tabs>
        <w:spacing w:before="120" w:after="120"/>
        <w:ind w:left="2268"/>
        <w:jc w:val="left"/>
        <w:rPr>
          <w:rFonts w:ascii="Arial" w:eastAsia="Arial" w:hAnsi="Arial"/>
          <w:color w:val="000000"/>
          <w:sz w:val="24"/>
          <w:szCs w:val="24"/>
        </w:rPr>
      </w:pPr>
      <w:r>
        <w:rPr>
          <w:rFonts w:ascii="Arial" w:eastAsia="Arial" w:hAnsi="Arial"/>
          <w:color w:val="000000"/>
          <w:sz w:val="24"/>
          <w:szCs w:val="24"/>
        </w:rPr>
        <w:lastRenderedPageBreak/>
        <w:t xml:space="preserve">by applying the adjustment factors listed in Paragraph 3.2.7 and from an analysis of the Comparable Rates, derive the Equivalent </w:t>
      </w:r>
      <w:proofErr w:type="gramStart"/>
      <w:r>
        <w:rPr>
          <w:rFonts w:ascii="Arial" w:eastAsia="Arial" w:hAnsi="Arial"/>
          <w:color w:val="000000"/>
          <w:sz w:val="24"/>
          <w:szCs w:val="24"/>
        </w:rPr>
        <w:t>Data;</w:t>
      </w:r>
      <w:proofErr w:type="gramEnd"/>
    </w:p>
    <w:p w14:paraId="00000040" w14:textId="77777777" w:rsidR="00A52032" w:rsidRDefault="00F26FF6" w:rsidP="00E733BD">
      <w:pPr>
        <w:numPr>
          <w:ilvl w:val="3"/>
          <w:numId w:val="1"/>
        </w:numPr>
        <w:pBdr>
          <w:top w:val="nil"/>
          <w:left w:val="nil"/>
          <w:bottom w:val="nil"/>
          <w:right w:val="nil"/>
          <w:between w:val="nil"/>
        </w:pBdr>
        <w:tabs>
          <w:tab w:val="left" w:pos="2268"/>
        </w:tabs>
        <w:spacing w:before="120" w:after="120"/>
        <w:ind w:left="2268"/>
        <w:jc w:val="left"/>
        <w:rPr>
          <w:rFonts w:ascii="Arial" w:eastAsia="Arial" w:hAnsi="Arial"/>
          <w:color w:val="000000"/>
          <w:sz w:val="24"/>
          <w:szCs w:val="24"/>
        </w:rPr>
      </w:pPr>
      <w:r>
        <w:rPr>
          <w:rFonts w:ascii="Arial" w:eastAsia="Arial" w:hAnsi="Arial"/>
          <w:color w:val="000000"/>
          <w:sz w:val="24"/>
          <w:szCs w:val="24"/>
        </w:rPr>
        <w:t xml:space="preserve">using the Equivalent Data, calculate the Upper </w:t>
      </w:r>
      <w:proofErr w:type="gramStart"/>
      <w:r>
        <w:rPr>
          <w:rFonts w:ascii="Arial" w:eastAsia="Arial" w:hAnsi="Arial"/>
          <w:color w:val="000000"/>
          <w:sz w:val="24"/>
          <w:szCs w:val="24"/>
        </w:rPr>
        <w:t>Quartile;</w:t>
      </w:r>
      <w:proofErr w:type="gramEnd"/>
    </w:p>
    <w:p w14:paraId="00000041" w14:textId="77777777" w:rsidR="00A52032" w:rsidRDefault="00F26FF6" w:rsidP="00E733BD">
      <w:pPr>
        <w:numPr>
          <w:ilvl w:val="3"/>
          <w:numId w:val="1"/>
        </w:numPr>
        <w:pBdr>
          <w:top w:val="nil"/>
          <w:left w:val="nil"/>
          <w:bottom w:val="nil"/>
          <w:right w:val="nil"/>
          <w:between w:val="nil"/>
        </w:pBdr>
        <w:tabs>
          <w:tab w:val="left" w:pos="2268"/>
        </w:tabs>
        <w:spacing w:before="120" w:after="120"/>
        <w:ind w:left="2268"/>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00000042" w14:textId="0408C017" w:rsidR="00A52032" w:rsidRDefault="00F26FF6" w:rsidP="00E733BD">
      <w:pPr>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00000043" w14:textId="77777777" w:rsidR="00A52032" w:rsidRDefault="00F26FF6" w:rsidP="00E733BD">
      <w:pPr>
        <w:keepNext/>
        <w:numPr>
          <w:ilvl w:val="2"/>
          <w:numId w:val="1"/>
        </w:numPr>
        <w:pBdr>
          <w:top w:val="nil"/>
          <w:left w:val="nil"/>
          <w:bottom w:val="nil"/>
          <w:right w:val="nil"/>
          <w:between w:val="nil"/>
        </w:pBdr>
        <w:tabs>
          <w:tab w:val="left" w:pos="1985"/>
        </w:tabs>
        <w:spacing w:before="120" w:after="120"/>
        <w:ind w:left="1418"/>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00000044" w14:textId="77777777" w:rsidR="00A52032" w:rsidRDefault="00F26FF6" w:rsidP="00E733BD">
      <w:pPr>
        <w:numPr>
          <w:ilvl w:val="3"/>
          <w:numId w:val="1"/>
        </w:numPr>
        <w:pBdr>
          <w:top w:val="nil"/>
          <w:left w:val="nil"/>
          <w:bottom w:val="nil"/>
          <w:right w:val="nil"/>
          <w:between w:val="nil"/>
        </w:pBdr>
        <w:tabs>
          <w:tab w:val="left" w:pos="2127"/>
        </w:tabs>
        <w:spacing w:before="120" w:after="120"/>
        <w:ind w:left="2127"/>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roofErr w:type="gramStart"/>
      <w:r>
        <w:rPr>
          <w:rFonts w:ascii="Arial" w:eastAsia="Arial" w:hAnsi="Arial"/>
          <w:color w:val="000000"/>
          <w:sz w:val="24"/>
          <w:szCs w:val="24"/>
        </w:rPr>
        <w:t>);</w:t>
      </w:r>
      <w:proofErr w:type="gramEnd"/>
    </w:p>
    <w:p w14:paraId="00000045" w14:textId="77777777" w:rsidR="00A52032" w:rsidRDefault="00F26FF6" w:rsidP="00E733BD">
      <w:pPr>
        <w:numPr>
          <w:ilvl w:val="3"/>
          <w:numId w:val="1"/>
        </w:numPr>
        <w:pBdr>
          <w:top w:val="nil"/>
          <w:left w:val="nil"/>
          <w:bottom w:val="nil"/>
          <w:right w:val="nil"/>
          <w:between w:val="nil"/>
        </w:pBdr>
        <w:tabs>
          <w:tab w:val="left" w:pos="2127"/>
        </w:tabs>
        <w:spacing w:before="120" w:after="120"/>
        <w:ind w:left="2127"/>
        <w:jc w:val="left"/>
        <w:rPr>
          <w:rFonts w:ascii="Arial" w:eastAsia="Arial" w:hAnsi="Arial"/>
          <w:color w:val="000000"/>
          <w:sz w:val="24"/>
          <w:szCs w:val="24"/>
        </w:rPr>
      </w:pPr>
      <w:r>
        <w:rPr>
          <w:rFonts w:ascii="Arial" w:eastAsia="Arial" w:hAnsi="Arial"/>
          <w:color w:val="000000"/>
          <w:sz w:val="24"/>
          <w:szCs w:val="24"/>
        </w:rPr>
        <w:t xml:space="preserve">exchange </w:t>
      </w:r>
      <w:proofErr w:type="gramStart"/>
      <w:r>
        <w:rPr>
          <w:rFonts w:ascii="Arial" w:eastAsia="Arial" w:hAnsi="Arial"/>
          <w:color w:val="000000"/>
          <w:sz w:val="24"/>
          <w:szCs w:val="24"/>
        </w:rPr>
        <w:t>rates;</w:t>
      </w:r>
      <w:proofErr w:type="gramEnd"/>
    </w:p>
    <w:p w14:paraId="00000046" w14:textId="77777777" w:rsidR="00A52032" w:rsidRDefault="00F26FF6" w:rsidP="00E733BD">
      <w:pPr>
        <w:numPr>
          <w:ilvl w:val="3"/>
          <w:numId w:val="1"/>
        </w:numPr>
        <w:pBdr>
          <w:top w:val="nil"/>
          <w:left w:val="nil"/>
          <w:bottom w:val="nil"/>
          <w:right w:val="nil"/>
          <w:between w:val="nil"/>
        </w:pBdr>
        <w:tabs>
          <w:tab w:val="left" w:pos="2127"/>
        </w:tabs>
        <w:spacing w:before="120" w:after="120"/>
        <w:ind w:left="2127"/>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00000047" w14:textId="77777777" w:rsidR="00A52032" w:rsidRDefault="00F26FF6">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00000048" w14:textId="77777777" w:rsidR="00A52032" w:rsidRDefault="00F26FF6" w:rsidP="00E733BD">
      <w:pPr>
        <w:numPr>
          <w:ilvl w:val="2"/>
          <w:numId w:val="1"/>
        </w:numPr>
        <w:pBdr>
          <w:top w:val="nil"/>
          <w:left w:val="nil"/>
          <w:bottom w:val="nil"/>
          <w:right w:val="nil"/>
          <w:between w:val="nil"/>
        </w:pBdr>
        <w:tabs>
          <w:tab w:val="left" w:pos="1985"/>
        </w:tabs>
        <w:spacing w:before="120" w:after="120"/>
        <w:ind w:left="1276"/>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w:t>
      </w:r>
      <w:proofErr w:type="gramStart"/>
      <w:r>
        <w:rPr>
          <w:rFonts w:ascii="Arial" w:eastAsia="Arial" w:hAnsi="Arial"/>
          <w:color w:val="000000"/>
          <w:sz w:val="24"/>
          <w:szCs w:val="24"/>
        </w:rPr>
        <w:t>Schedule;</w:t>
      </w:r>
      <w:proofErr w:type="gramEnd"/>
    </w:p>
    <w:p w14:paraId="00000049" w14:textId="5EBDEBC0" w:rsidR="00A52032" w:rsidRDefault="00F26FF6" w:rsidP="00E733BD">
      <w:pPr>
        <w:keepNext/>
        <w:numPr>
          <w:ilvl w:val="2"/>
          <w:numId w:val="1"/>
        </w:numPr>
        <w:pBdr>
          <w:top w:val="nil"/>
          <w:left w:val="nil"/>
          <w:bottom w:val="nil"/>
          <w:right w:val="nil"/>
          <w:between w:val="nil"/>
        </w:pBdr>
        <w:tabs>
          <w:tab w:val="left" w:pos="1985"/>
        </w:tabs>
        <w:spacing w:before="120" w:after="120"/>
        <w:ind w:left="1276"/>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0000004A" w14:textId="77777777" w:rsidR="00A52032" w:rsidRDefault="00F26FF6" w:rsidP="00E733BD">
      <w:pPr>
        <w:numPr>
          <w:ilvl w:val="3"/>
          <w:numId w:val="1"/>
        </w:numPr>
        <w:pBdr>
          <w:top w:val="nil"/>
          <w:left w:val="nil"/>
          <w:bottom w:val="nil"/>
          <w:right w:val="nil"/>
          <w:between w:val="nil"/>
        </w:pBdr>
        <w:tabs>
          <w:tab w:val="left" w:pos="1985"/>
        </w:tabs>
        <w:spacing w:before="120" w:after="120"/>
        <w:ind w:left="1985"/>
        <w:jc w:val="left"/>
        <w:rPr>
          <w:rFonts w:ascii="Arial" w:eastAsia="Arial" w:hAnsi="Arial"/>
          <w:color w:val="000000"/>
          <w:sz w:val="24"/>
          <w:szCs w:val="24"/>
        </w:rPr>
      </w:pPr>
      <w:r>
        <w:rPr>
          <w:rFonts w:ascii="Arial" w:eastAsia="Arial" w:hAnsi="Arial"/>
          <w:color w:val="000000"/>
          <w:sz w:val="24"/>
          <w:szCs w:val="24"/>
        </w:rPr>
        <w:t xml:space="preserve">include a finding as to whether or not a Benchmarked Service and/or whether the Benchmarked Deliverables as a whole are, Good </w:t>
      </w:r>
      <w:proofErr w:type="gramStart"/>
      <w:r>
        <w:rPr>
          <w:rFonts w:ascii="Arial" w:eastAsia="Arial" w:hAnsi="Arial"/>
          <w:color w:val="000000"/>
          <w:sz w:val="24"/>
          <w:szCs w:val="24"/>
        </w:rPr>
        <w:t>Value;</w:t>
      </w:r>
      <w:proofErr w:type="gramEnd"/>
    </w:p>
    <w:p w14:paraId="0000004B" w14:textId="77777777" w:rsidR="00A52032" w:rsidRDefault="00F26FF6" w:rsidP="00E733BD">
      <w:pPr>
        <w:numPr>
          <w:ilvl w:val="3"/>
          <w:numId w:val="1"/>
        </w:numPr>
        <w:pBdr>
          <w:top w:val="nil"/>
          <w:left w:val="nil"/>
          <w:bottom w:val="nil"/>
          <w:right w:val="nil"/>
          <w:between w:val="nil"/>
        </w:pBdr>
        <w:tabs>
          <w:tab w:val="left" w:pos="1985"/>
        </w:tabs>
        <w:spacing w:before="120" w:after="120"/>
        <w:ind w:left="1985"/>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0000004C" w14:textId="77777777" w:rsidR="00A52032" w:rsidRDefault="00F26FF6" w:rsidP="00E733BD">
      <w:pPr>
        <w:numPr>
          <w:ilvl w:val="3"/>
          <w:numId w:val="1"/>
        </w:numPr>
        <w:pBdr>
          <w:top w:val="nil"/>
          <w:left w:val="nil"/>
          <w:bottom w:val="nil"/>
          <w:right w:val="nil"/>
          <w:between w:val="nil"/>
        </w:pBdr>
        <w:tabs>
          <w:tab w:val="left" w:pos="1985"/>
        </w:tabs>
        <w:spacing w:before="120" w:after="120"/>
        <w:ind w:left="1985"/>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130FF64" w14:textId="77777777" w:rsidR="00302185" w:rsidRDefault="00F26FF6" w:rsidP="00302185">
      <w:pPr>
        <w:numPr>
          <w:ilvl w:val="2"/>
          <w:numId w:val="1"/>
        </w:numPr>
        <w:pBdr>
          <w:top w:val="nil"/>
          <w:left w:val="nil"/>
          <w:bottom w:val="nil"/>
          <w:right w:val="nil"/>
          <w:between w:val="nil"/>
        </w:pBdr>
        <w:tabs>
          <w:tab w:val="left" w:pos="1985"/>
        </w:tabs>
        <w:spacing w:before="120" w:after="120"/>
        <w:ind w:left="1276"/>
        <w:jc w:val="left"/>
        <w:rPr>
          <w:rFonts w:ascii="Arial" w:eastAsia="Arial" w:hAnsi="Arial"/>
          <w:color w:val="000000"/>
          <w:sz w:val="24"/>
          <w:szCs w:val="24"/>
        </w:rPr>
      </w:pPr>
      <w:r w:rsidRPr="485F2716">
        <w:rPr>
          <w:rFonts w:ascii="Arial" w:eastAsia="Arial" w:hAnsi="Arial"/>
          <w:color w:val="000000" w:themeColor="text1"/>
          <w:sz w:val="24"/>
          <w:szCs w:val="24"/>
        </w:rPr>
        <w:lastRenderedPageBreak/>
        <w:t>The Parties agree that any changes required to this Contract identified in the Benchmarking Report shall be implemented at the direction of the Buyer in accordance with Clause 24 (Changing the contract).</w:t>
      </w:r>
    </w:p>
    <w:p w14:paraId="66A8E812" w14:textId="776A381F" w:rsidR="219CC46F" w:rsidRDefault="219CC46F" w:rsidP="62316F30">
      <w:pPr>
        <w:numPr>
          <w:ilvl w:val="2"/>
          <w:numId w:val="1"/>
        </w:numPr>
        <w:tabs>
          <w:tab w:val="left" w:pos="1985"/>
        </w:tabs>
        <w:spacing w:before="120" w:after="120"/>
        <w:ind w:left="1276"/>
        <w:jc w:val="left"/>
        <w:rPr>
          <w:rFonts w:ascii="Arial" w:eastAsia="Arial" w:hAnsi="Arial"/>
          <w:sz w:val="24"/>
          <w:szCs w:val="24"/>
        </w:rPr>
      </w:pPr>
      <w:r w:rsidRPr="3AD2C5F8">
        <w:rPr>
          <w:rFonts w:ascii="Arial" w:eastAsia="Arial" w:hAnsi="Arial"/>
          <w:color w:val="000000" w:themeColor="text1"/>
          <w:sz w:val="24"/>
          <w:szCs w:val="24"/>
        </w:rPr>
        <w:t xml:space="preserve">In any event, any changes resulting from the final </w:t>
      </w:r>
      <w:r w:rsidRPr="3AD2C5F8">
        <w:rPr>
          <w:rFonts w:ascii="Arial" w:eastAsia="Arial" w:hAnsi="Arial"/>
          <w:sz w:val="24"/>
          <w:szCs w:val="24"/>
        </w:rPr>
        <w:t>Benchmarking report shall apply no later than thirty (30) days from the provision  of the final Benchmarking report (the “Benchmarking Price Application Date”), and to the extent that the findings or any other outcome of the Benchmarking are not agreed until a date after the Benchmarking Price Application Date, the Supplier shall retrospectively apply the charging adjustments to take effect from and commence on the Benchmarking Price Application Date.</w:t>
      </w:r>
    </w:p>
    <w:p w14:paraId="3280B816" w14:textId="1E85F83E" w:rsidR="62316F30" w:rsidRDefault="62316F30" w:rsidP="62316F30">
      <w:pPr>
        <w:pBdr>
          <w:top w:val="nil"/>
          <w:left w:val="nil"/>
          <w:bottom w:val="nil"/>
          <w:right w:val="nil"/>
          <w:between w:val="nil"/>
        </w:pBdr>
        <w:tabs>
          <w:tab w:val="left" w:pos="1985"/>
        </w:tabs>
        <w:spacing w:before="120" w:after="120"/>
        <w:jc w:val="left"/>
        <w:rPr>
          <w:color w:val="000000" w:themeColor="text1"/>
          <w:sz w:val="24"/>
          <w:szCs w:val="24"/>
          <w:highlight w:val="yellow"/>
        </w:rPr>
      </w:pPr>
    </w:p>
    <w:sectPr w:rsidR="62316F3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02FE" w14:textId="77777777" w:rsidR="007C5E2C" w:rsidRDefault="007C5E2C">
      <w:pPr>
        <w:spacing w:after="0"/>
      </w:pPr>
      <w:r>
        <w:separator/>
      </w:r>
    </w:p>
  </w:endnote>
  <w:endnote w:type="continuationSeparator" w:id="0">
    <w:p w14:paraId="2627A48D" w14:textId="77777777" w:rsidR="007C5E2C" w:rsidRDefault="007C5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BF61" w14:textId="5B7DCB52" w:rsidR="00AF2185" w:rsidRDefault="00F30436">
    <w:pPr>
      <w:pStyle w:val="Footer"/>
    </w:pPr>
    <w:r>
      <w:rPr>
        <w:noProof/>
      </w:rPr>
      <mc:AlternateContent>
        <mc:Choice Requires="wps">
          <w:drawing>
            <wp:anchor distT="0" distB="0" distL="0" distR="0" simplePos="0" relativeHeight="251660288" behindDoc="0" locked="0" layoutInCell="1" allowOverlap="1" wp14:anchorId="03EDDED0" wp14:editId="3113ABD4">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5F7667" w14:textId="764E3351" w:rsidR="00F30436" w:rsidRPr="00F30436" w:rsidRDefault="00F30436" w:rsidP="00F30436">
                          <w:pPr>
                            <w:spacing w:after="0"/>
                            <w:rPr>
                              <w:rFonts w:eastAsia="Calibri" w:cs="Calibri"/>
                              <w:noProof/>
                              <w:color w:val="000000"/>
                              <w:sz w:val="20"/>
                              <w:szCs w:val="20"/>
                            </w:rPr>
                          </w:pPr>
                          <w:r w:rsidRPr="00F3043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899901B">
            <v:shapetype id="_x0000_t202" coordsize="21600,21600" o:spt="202" path="m,l,21600r21600,l21600,xe" w14:anchorId="03EDDED0">
              <v:stroke joinstyle="miter"/>
              <v:path gradientshapeok="t" o:connecttype="rect"/>
            </v:shapetype>
            <v:shape id="Text Box 2"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F30436" w:rsidR="00F30436" w:rsidP="00F30436" w:rsidRDefault="00F30436" w14:paraId="09E77742" w14:textId="764E3351">
                    <w:pPr>
                      <w:spacing w:after="0"/>
                      <w:rPr>
                        <w:rFonts w:eastAsia="Calibri" w:cs="Calibri"/>
                        <w:noProof/>
                        <w:color w:val="000000"/>
                        <w:sz w:val="20"/>
                        <w:szCs w:val="20"/>
                      </w:rPr>
                    </w:pPr>
                    <w:r w:rsidRPr="00F30436">
                      <w:rPr>
                        <w:rFonts w:eastAsia="Calibri" w:cs="Calibri"/>
                        <w:noProof/>
                        <w:color w:val="000000"/>
                        <w:sz w:val="20"/>
                        <w:szCs w:val="20"/>
                      </w:rPr>
                      <w:t>OFFICIAL</w:t>
                    </w:r>
                  </w:p>
                </w:txbxContent>
              </v:textbox>
              <w10:wrap anchorx="page" anchory="page"/>
            </v:shape>
          </w:pict>
        </mc:Fallback>
      </mc:AlternateContent>
    </w:r>
  </w:p>
  <w:p w14:paraId="0F2C4A70" w14:textId="3D1E4B3A" w:rsidR="00AF2185" w:rsidRDefault="00350349">
    <w:pPr>
      <w:pStyle w:val="Footer"/>
    </w:pPr>
    <w:r>
      <w:t>76563595.1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7" w14:textId="54CD0F79" w:rsidR="00A52032" w:rsidRDefault="00F30436">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1312" behindDoc="0" locked="0" layoutInCell="1" allowOverlap="1" wp14:anchorId="7A9BC5E0" wp14:editId="59D77431">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8C758" w14:textId="37C46A8A" w:rsidR="00F30436" w:rsidRPr="00F30436" w:rsidRDefault="00F30436" w:rsidP="00F30436">
                          <w:pPr>
                            <w:spacing w:after="0"/>
                            <w:rPr>
                              <w:rFonts w:eastAsia="Calibri" w:cs="Calibri"/>
                              <w:noProof/>
                              <w:color w:val="000000"/>
                              <w:sz w:val="20"/>
                              <w:szCs w:val="20"/>
                            </w:rPr>
                          </w:pPr>
                          <w:r w:rsidRPr="00F3043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3659392">
            <v:shapetype id="_x0000_t202" coordsize="21600,21600" o:spt="202" path="m,l,21600r21600,l21600,xe" w14:anchorId="7A9BC5E0">
              <v:stroke joinstyle="miter"/>
              <v:path gradientshapeok="t" o:connecttype="rect"/>
            </v:shapetype>
            <v:shape id="Text Box 3"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F30436" w:rsidR="00F30436" w:rsidP="00F30436" w:rsidRDefault="00F30436" w14:paraId="08CE8BEA" w14:textId="37C46A8A">
                    <w:pPr>
                      <w:spacing w:after="0"/>
                      <w:rPr>
                        <w:rFonts w:eastAsia="Calibri" w:cs="Calibri"/>
                        <w:noProof/>
                        <w:color w:val="000000"/>
                        <w:sz w:val="20"/>
                        <w:szCs w:val="20"/>
                      </w:rPr>
                    </w:pPr>
                    <w:r w:rsidRPr="00F30436">
                      <w:rPr>
                        <w:rFonts w:eastAsia="Calibri" w:cs="Calibri"/>
                        <w:noProof/>
                        <w:color w:val="000000"/>
                        <w:sz w:val="20"/>
                        <w:szCs w:val="20"/>
                      </w:rPr>
                      <w:t>OFFICIAL</w:t>
                    </w:r>
                  </w:p>
                </w:txbxContent>
              </v:textbox>
              <w10:wrap anchorx="page" anchory="page"/>
            </v:shape>
          </w:pict>
        </mc:Fallback>
      </mc:AlternateContent>
    </w:r>
  </w:p>
  <w:p w14:paraId="00000058" w14:textId="2E7D3F4E" w:rsidR="00A52032" w:rsidRDefault="00F26FF6">
    <w:pPr>
      <w:tabs>
        <w:tab w:val="center" w:pos="4513"/>
        <w:tab w:val="right" w:pos="9026"/>
      </w:tabs>
      <w:spacing w:after="0"/>
      <w:rPr>
        <w:rFonts w:ascii="Arial" w:eastAsia="Arial" w:hAnsi="Arial"/>
        <w:sz w:val="20"/>
        <w:szCs w:val="20"/>
      </w:rPr>
    </w:pPr>
    <w:r>
      <w:rPr>
        <w:rFonts w:ascii="Arial" w:eastAsia="Arial" w:hAnsi="Arial"/>
        <w:sz w:val="20"/>
        <w:szCs w:val="20"/>
      </w:rPr>
      <w:t>Framework Ref: R</w:t>
    </w:r>
    <w:r w:rsidR="0063627F">
      <w:rPr>
        <w:rFonts w:ascii="Arial" w:eastAsia="Arial" w:hAnsi="Arial"/>
        <w:sz w:val="20"/>
        <w:szCs w:val="20"/>
      </w:rPr>
      <w:t>M6335</w:t>
    </w:r>
  </w:p>
  <w:p w14:paraId="00000059" w14:textId="161E65A3" w:rsidR="00A52032" w:rsidRDefault="00F26F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F2185">
      <w:rPr>
        <w:rFonts w:ascii="Arial" w:eastAsia="Arial" w:hAnsi="Arial"/>
        <w:noProof/>
        <w:color w:val="000000"/>
        <w:sz w:val="20"/>
        <w:szCs w:val="20"/>
      </w:rPr>
      <w:t>1</w:t>
    </w:r>
    <w:r>
      <w:rPr>
        <w:rFonts w:ascii="Arial" w:eastAsia="Arial" w:hAnsi="Arial"/>
        <w:color w:val="000000"/>
        <w:sz w:val="20"/>
        <w:szCs w:val="20"/>
      </w:rPr>
      <w:fldChar w:fldCharType="end"/>
    </w:r>
  </w:p>
  <w:p w14:paraId="0000005A" w14:textId="7C0B7002" w:rsidR="00A52032" w:rsidRDefault="00A52032">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4" w14:textId="3E496BBF" w:rsidR="00A52032" w:rsidRDefault="00F30436">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59264" behindDoc="0" locked="0" layoutInCell="1" allowOverlap="1" wp14:anchorId="21B764D1" wp14:editId="6D6B22FB">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91E6CC" w14:textId="5950020A" w:rsidR="00F30436" w:rsidRPr="00F30436" w:rsidRDefault="00F30436" w:rsidP="00F30436">
                          <w:pPr>
                            <w:spacing w:after="0"/>
                            <w:rPr>
                              <w:rFonts w:eastAsia="Calibri" w:cs="Calibri"/>
                              <w:noProof/>
                              <w:color w:val="000000"/>
                              <w:sz w:val="20"/>
                              <w:szCs w:val="20"/>
                            </w:rPr>
                          </w:pPr>
                          <w:r w:rsidRPr="00F3043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55F4C51E">
            <v:shapetype id="_x0000_t202" coordsize="21600,21600" o:spt="202" path="m,l,21600r21600,l21600,xe" w14:anchorId="21B764D1">
              <v:stroke joinstyle="miter"/>
              <v:path gradientshapeok="t" o:connecttype="rect"/>
            </v:shapetype>
            <v:shape id="Text Box 1"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F30436" w:rsidR="00F30436" w:rsidP="00F30436" w:rsidRDefault="00F30436" w14:paraId="75F360E3" w14:textId="5950020A">
                    <w:pPr>
                      <w:spacing w:after="0"/>
                      <w:rPr>
                        <w:rFonts w:eastAsia="Calibri" w:cs="Calibri"/>
                        <w:noProof/>
                        <w:color w:val="000000"/>
                        <w:sz w:val="20"/>
                        <w:szCs w:val="20"/>
                      </w:rPr>
                    </w:pPr>
                    <w:r w:rsidRPr="00F30436">
                      <w:rPr>
                        <w:rFonts w:eastAsia="Calibri" w:cs="Calibri"/>
                        <w:noProof/>
                        <w:color w:val="000000"/>
                        <w:sz w:val="20"/>
                        <w:szCs w:val="20"/>
                      </w:rPr>
                      <w:t>OFFICIAL</w:t>
                    </w:r>
                  </w:p>
                </w:txbxContent>
              </v:textbox>
              <w10:wrap anchorx="page" anchory="page"/>
            </v:shape>
          </w:pict>
        </mc:Fallback>
      </mc:AlternateContent>
    </w:r>
    <w:r w:rsidR="00F26FF6">
      <w:rPr>
        <w:rFonts w:ascii="Arial" w:eastAsia="Arial" w:hAnsi="Arial"/>
        <w:sz w:val="20"/>
        <w:szCs w:val="20"/>
      </w:rPr>
      <w:t>Framework Ref: RM</w:t>
    </w:r>
    <w:r w:rsidR="00F26FF6">
      <w:rPr>
        <w:rFonts w:ascii="Arial" w:eastAsia="Arial" w:hAnsi="Arial"/>
        <w:sz w:val="20"/>
        <w:szCs w:val="20"/>
      </w:rPr>
      <w:tab/>
      <w:t xml:space="preserve">                                           </w:t>
    </w:r>
  </w:p>
  <w:p w14:paraId="00000055" w14:textId="7E0EA41C" w:rsidR="00A52032" w:rsidRDefault="00F26F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F2185">
      <w:rPr>
        <w:rFonts w:ascii="Arial" w:eastAsia="Arial" w:hAnsi="Arial"/>
        <w:noProof/>
        <w:color w:val="000000"/>
        <w:sz w:val="20"/>
        <w:szCs w:val="20"/>
      </w:rPr>
      <w:t>1</w:t>
    </w:r>
    <w:r>
      <w:rPr>
        <w:rFonts w:ascii="Arial" w:eastAsia="Arial" w:hAnsi="Arial"/>
        <w:color w:val="000000"/>
        <w:sz w:val="20"/>
        <w:szCs w:val="20"/>
      </w:rPr>
      <w:fldChar w:fldCharType="end"/>
    </w:r>
  </w:p>
  <w:p w14:paraId="21017ECD" w14:textId="77777777" w:rsidR="00AF2185" w:rsidRDefault="00F26FF6">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p w14:paraId="00000056" w14:textId="6B32C69C" w:rsidR="00A52032" w:rsidRDefault="00350349">
    <w:pPr>
      <w:tabs>
        <w:tab w:val="center" w:pos="4513"/>
        <w:tab w:val="right" w:pos="9026"/>
      </w:tabs>
      <w:spacing w:after="0"/>
    </w:pPr>
    <w:r>
      <w:t>76563595.1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31F0" w14:textId="77777777" w:rsidR="007C5E2C" w:rsidRDefault="007C5E2C">
      <w:pPr>
        <w:spacing w:after="0"/>
      </w:pPr>
      <w:r>
        <w:separator/>
      </w:r>
    </w:p>
  </w:footnote>
  <w:footnote w:type="continuationSeparator" w:id="0">
    <w:p w14:paraId="76AC4259" w14:textId="77777777" w:rsidR="007C5E2C" w:rsidRDefault="007C5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E782F" w14:textId="77777777" w:rsidR="00E733BD" w:rsidRDefault="00E733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77777777" w:rsidR="00A52032" w:rsidRDefault="00F26F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00000051" w14:textId="77777777" w:rsidR="00A52032" w:rsidRDefault="00F26F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52" w14:textId="77777777" w:rsidR="00A52032" w:rsidRDefault="00F26F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2023</w:t>
    </w:r>
  </w:p>
  <w:p w14:paraId="00000053" w14:textId="77777777" w:rsidR="00A52032" w:rsidRDefault="00A52032">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F" w14:textId="77777777" w:rsidR="00A52032" w:rsidRDefault="00F26FF6">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78325137" wp14:editId="3D62A6C3">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C4061"/>
    <w:multiLevelType w:val="multilevel"/>
    <w:tmpl w:val="F418DE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E283193"/>
    <w:multiLevelType w:val="multilevel"/>
    <w:tmpl w:val="33C0D6B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5452380">
    <w:abstractNumId w:val="0"/>
  </w:num>
  <w:num w:numId="2" w16cid:durableId="90014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032"/>
    <w:rsid w:val="000445E3"/>
    <w:rsid w:val="000DEED5"/>
    <w:rsid w:val="00302185"/>
    <w:rsid w:val="00307449"/>
    <w:rsid w:val="00350349"/>
    <w:rsid w:val="003752D1"/>
    <w:rsid w:val="00391DB1"/>
    <w:rsid w:val="003C32EA"/>
    <w:rsid w:val="0043666E"/>
    <w:rsid w:val="005812DA"/>
    <w:rsid w:val="005960B7"/>
    <w:rsid w:val="005B050B"/>
    <w:rsid w:val="005B1AED"/>
    <w:rsid w:val="0062FDCA"/>
    <w:rsid w:val="0063627F"/>
    <w:rsid w:val="006A7E7E"/>
    <w:rsid w:val="00750070"/>
    <w:rsid w:val="007C5E2C"/>
    <w:rsid w:val="007F3499"/>
    <w:rsid w:val="00826EB1"/>
    <w:rsid w:val="009359EC"/>
    <w:rsid w:val="009741B4"/>
    <w:rsid w:val="009850FD"/>
    <w:rsid w:val="00A52032"/>
    <w:rsid w:val="00AC7A5B"/>
    <w:rsid w:val="00AF2185"/>
    <w:rsid w:val="00B45FC8"/>
    <w:rsid w:val="00B77CFB"/>
    <w:rsid w:val="00BB7212"/>
    <w:rsid w:val="00C32804"/>
    <w:rsid w:val="00C41144"/>
    <w:rsid w:val="00C6570B"/>
    <w:rsid w:val="00D57F05"/>
    <w:rsid w:val="00DE1073"/>
    <w:rsid w:val="00E733BD"/>
    <w:rsid w:val="00F1093C"/>
    <w:rsid w:val="00F26FF6"/>
    <w:rsid w:val="00F30436"/>
    <w:rsid w:val="03181042"/>
    <w:rsid w:val="0DAAFDAA"/>
    <w:rsid w:val="11373977"/>
    <w:rsid w:val="219CC46F"/>
    <w:rsid w:val="3AD2C5F8"/>
    <w:rsid w:val="3EFD46E3"/>
    <w:rsid w:val="43C85AB5"/>
    <w:rsid w:val="485F2716"/>
    <w:rsid w:val="5C9802E5"/>
    <w:rsid w:val="5E33D346"/>
    <w:rsid w:val="62316F30"/>
    <w:rsid w:val="65764E2E"/>
    <w:rsid w:val="7782FD07"/>
    <w:rsid w:val="780FFB7D"/>
    <w:rsid w:val="7A9D46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ABFB5"/>
  <w15:docId w15:val="{354D10EE-E34E-47E3-882B-9E64C5CB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aCQfnQjDOE+i2SYxdPW+9hWRYwQ==">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</go:docsCustomData>
</go:gDocsCustomXmlDataStorage>
</file>

<file path=customXml/itemProps1.xml><?xml version="1.0" encoding="utf-8"?>
<ds:datastoreItem xmlns:ds="http://schemas.openxmlformats.org/officeDocument/2006/customXml" ds:itemID="{ECC02A57-B474-4759-A04A-EF5BBF66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B1DDD-D29C-4173-B9C7-CD16F95A0900}">
  <ds:schemaRefs>
    <ds:schemaRef ds:uri="http://schemas.microsoft.com/sharepoint/v3/contenttype/forms"/>
  </ds:schemaRefs>
</ds:datastoreItem>
</file>

<file path=customXml/itemProps3.xml><?xml version="1.0" encoding="utf-8"?>
<ds:datastoreItem xmlns:ds="http://schemas.openxmlformats.org/officeDocument/2006/customXml" ds:itemID="{5816302A-77E4-41BE-B178-958AA8B63A44}">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1385</Words>
  <Characters>7898</Characters>
  <Application>Microsoft Office Word</Application>
  <DocSecurity>0</DocSecurity>
  <Lines>65</Lines>
  <Paragraphs>18</Paragraphs>
  <ScaleCrop>false</ScaleCrop>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Larocque, Miriam (Commercial)</cp:lastModifiedBy>
  <cp:revision>7</cp:revision>
  <dcterms:created xsi:type="dcterms:W3CDTF">2023-11-16T16:23:00Z</dcterms:created>
  <dcterms:modified xsi:type="dcterms:W3CDTF">2024-05-01T20:26:00Z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76687170.1</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2023-10-26T10:00:03Z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183d3960-0dec-471b-85a0-8ed4248d557d</vt:lpwstr>
  </property>
  <property fmtid="{D5CDD505-2E9C-101B-9397-08002B2CF9AE}" pid="14" name="MSIP_Label_f9af038e-07b4-4369-a678-c835687cb272_ContentBits">
    <vt:lpwstr>2</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MediaServiceImageTags">
    <vt:lpwstr/>
  </property>
</Properties>
</file>